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spacing w:after="120"/>
        <w:jc w:val="center"/>
      </w:pPr>
      <w:r>
        <w:rPr>
          <w:rFonts w:ascii="Garamond" w:cs="Garamond" w:eastAsia="Garamond" w:hAnsi="Garamond"/>
          <w:b/>
          <w:bCs/>
          <w:color w:val="1A0A2E"/>
          <w:sz w:val="60"/>
          <w:szCs w:val="60"/>
        </w:rPr>
        <w:t xml:space="preserve">THE ARCHITECTURE OF LIGHT</w:t>
      </w:r>
    </w:p>
    <w:p>
      <w:pPr>
        <w:spacing w:after="120"/>
        <w:jc w:val="center"/>
      </w:pPr>
      <w:r>
        <w:rPr>
          <w:rFonts w:ascii="Garamond" w:cs="Garamond" w:eastAsia="Garamond" w:hAnsi="Garamond"/>
          <w:i/>
          <w:iCs/>
          <w:color w:val="008080"/>
          <w:sz w:val="36"/>
          <w:szCs w:val="36"/>
        </w:rPr>
        <w:t xml:space="preserve">A 48-Dimensional Link to DNA</w:t>
      </w:r>
    </w:p>
    <w:p>
      <w:pPr>
        <w:spacing w:after="240"/>
        <w:jc w:val="center"/>
      </w:pPr>
      <w:r>
        <w:rPr>
          <w:rFonts w:ascii="Garamond" w:cs="Garamond" w:eastAsia="Garamond" w:hAnsi="Garamond"/>
          <w:color w:val="B8860B"/>
          <w:sz w:val="28"/>
          <w:szCs w:val="28"/>
        </w:rPr>
        <w:t xml:space="preserve">High-Dimensional Bio-Cosmology</w:t>
      </w:r>
    </w:p>
    <w:p>
      <w:pPr>
        <w:pBdr>
          <w:top w:val="single" w:color="B8860B" w:sz="2" w:space="8"/>
          <w:bottom w:val="single" w:color="B8860B" w:sz="2" w:space="8"/>
        </w:pBdr>
        <w:spacing w:after="360" w:before="360"/>
        <w:jc w:val="center"/>
      </w:pPr>
      <w:r>
        <w:rPr>
          <w:rFonts w:ascii="Georgia" w:cs="Georgia" w:eastAsia="Georgia" w:hAnsi="Georgia"/>
          <w:i/>
          <w:iCs/>
          <w:color w:val="666666"/>
          <w:sz w:val="22"/>
          <w:szCs w:val="22"/>
        </w:rPr>
        <w:t xml:space="preserve">A Synthesis of Quantum Optics, Genetic Geometry, and the Informational Field</w:t>
      </w:r>
    </w:p>
    <w:p>
      <w:pPr>
        <w:spacing w:before="480"/>
        <w:jc w:val="center"/>
      </w:pPr>
      <w:r>
        <w:rPr>
          <w:rFonts w:ascii="Georgia" w:cs="Georgia" w:eastAsia="Georgia" w:hAnsi="Georgia"/>
          <w:color w:val="999999"/>
          <w:sz w:val="20"/>
          <w:szCs w:val="20"/>
        </w:rPr>
        <w:t xml:space="preserve">April 2026</w:t>
      </w:r>
    </w:p>
    <w:p>
      <w:pPr>
        <w:spacing w:before="120"/>
        <w:jc w:val="center"/>
      </w:pPr>
      <w:r>
        <w:rPr>
          <w:rFonts w:ascii="Georgia" w:cs="Georgia" w:eastAsia="Georgia" w:hAnsi="Georgia"/>
          <w:i/>
          <w:iCs/>
          <w:color w:val="999999"/>
          <w:sz w:val="20"/>
          <w:szCs w:val="20"/>
        </w:rPr>
        <w:t xml:space="preserve">A Homo Luminous Publication</w:t>
      </w:r>
    </w:p>
    <w:p>
      <w:pPr>
        <w:spacing w:before="120"/>
        <w:jc w:val="center"/>
      </w:pPr>
      <w:r>
        <w:rPr>
          <w:rFonts w:ascii="Garamond" w:cs="Garamond" w:eastAsia="Garamond" w:hAnsi="Garamond"/>
          <w:i/>
          <w:iCs/>
          <w:color w:val="666666"/>
          <w:sz w:val="24"/>
          <w:szCs w:val="24"/>
        </w:rPr>
        <w:t xml:space="preserve">“Ideas should be free.”</w:t>
      </w:r>
    </w:p>
    <w:p>
      <w:r>
        <w:br w:type="page"/>
      </w:r>
    </w:p>
    <w:p>
      <w:pPr>
        <w:spacing w:before="4800"/>
        <w:jc w:val="center"/>
      </w:pPr>
    </w:p>
    <w:p>
      <w:pPr>
        <w:jc w:val="center"/>
        <w:spacing w:after="120"/>
      </w:pPr>
      <w:r>
        <w:rPr>
          <w:rFonts w:ascii="Garamond" w:hAnsi="Garamond"/>
          <w:sz w:val="22"/>
          <w:szCs w:val="22"/>
          <w:color w:val="333333"/>
        </w:rPr>
        <w:t>The Architecture of Light</w:t>
      </w:r>
    </w:p>
    <w:p>
      <w:pPr>
        <w:jc w:val="center"/>
        <w:spacing w:after="120"/>
      </w:pPr>
      <w:r>
        <w:rPr>
          <w:rFonts w:ascii="Garamond" w:hAnsi="Garamond"/>
          <w:i/>
          <w:sz w:val="20"/>
          <w:szCs w:val="20"/>
          <w:color w:val="333333"/>
        </w:rPr>
        <w:t>A 48-Dimensional Link to DNA</w:t>
      </w:r>
    </w:p>
    <w:p>
      <w:pPr>
        <w:jc w:val="center"/>
        <w:spacing w:before="240" w:after="120"/>
      </w:pPr>
      <w:r>
        <w:rPr>
          <w:rFonts w:ascii="Georgia" w:hAnsi="Georgia"/>
          <w:sz w:val="20"/>
          <w:szCs w:val="20"/>
          <w:color w:val="666666"/>
        </w:rPr>
        <w:t xml:space="preserve">© 2026 KW Norton. All rights reserved.</w:t>
      </w:r>
    </w:p>
    <w:p>
      <w:pPr>
        <w:jc w:val="center"/>
        <w:spacing w:after="120"/>
      </w:pPr>
      <w:r>
        <w:rPr>
          <w:rFonts w:ascii="Georgia" w:hAnsi="Georgia"/>
          <w:sz w:val="20"/>
          <w:szCs w:val="20"/>
          <w:color w:val="666666"/>
        </w:rPr>
        <w:t>Published by HumAIne Systems Tech</w:t>
      </w:r>
    </w:p>
    <w:p>
      <w:pPr>
        <w:jc w:val="center"/>
        <w:spacing w:before="240" w:after="120"/>
      </w:pPr>
      <w:r>
        <w:rPr>
          <w:rFonts w:ascii="Georgia" w:hAnsi="Georgia"/>
          <w:sz w:val="18"/>
          <w:szCs w:val="18"/>
          <w:color w:val="999999"/>
        </w:rPr>
        <w:t>No part of this publication may be reproduced, distributed, or transmitted in any form without prior written permission of the author.</w:t>
      </w:r>
    </w:p>
    <w:p>
      <w:pPr>
        <w:jc w:val="center"/>
        <w:spacing w:before="360"/>
      </w:pPr>
      <w:r>
        <w:rPr>
          <w:rFonts w:ascii="Georgia" w:hAnsi="Georgia"/>
          <w:i/>
          <w:sz w:val="20"/>
          <w:szCs w:val="20"/>
          <w:color w:val="999999"/>
        </w:rPr>
        <w:t>First Edition, April 2026</w:t>
      </w:r>
    </w:p>
    <w:p>
      <w:pPr>
        <w:jc w:val="center"/>
        <w:spacing w:before="480"/>
      </w:pPr>
      <w:r>
        <w:rPr>
          <w:rFonts w:ascii="Garamond" w:hAnsi="Garamond"/>
          <w:i/>
          <w:sz w:val="22"/>
          <w:szCs w:val="22"/>
          <w:color w:val="B8860B"/>
        </w:rPr>
        <w:t xml:space="preserve">“Ideas should be free.”</w:t>
      </w:r>
    </w:p>
    <w:p>
      <w:r>
        <w:br w:type="page"/>
      </w:r>
    </w:p>
    <w:p>
      <w:pPr>
        <w:pStyle w:val="Heading1"/>
      </w:pPr>
      <w:r>
        <w:t xml:space="preserve">The Parallel Architectures</w:t>
      </w:r>
    </w:p>
    <w:p>
      <w:pPr>
        <w:spacing w:after="240" w:before="240"/>
        <w:jc w:val="center"/>
      </w:pPr>
      <w:r>
        <w:rPr>
          <w:rFonts w:ascii="Garamond" w:cs="Garamond" w:eastAsia="Garamond" w:hAnsi="Garamond"/>
          <w:b/>
          <w:bCs/>
          <w:color w:val="008080"/>
          <w:sz w:val="26"/>
          <w:szCs w:val="26"/>
        </w:rPr>
        <w:t xml:space="preserve">Luminous Geometry (Light)  ↔  Biological Mathematics (DNA)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680"/>
        <w:gridCol w:w="3680"/>
      </w:tblGrid>
      <w:tr>
        <w:tc>
          <w:tcPr>
            <w:tcW w:type="dxa" w:w="2000"/>
            <w:tcBorders>
              <w:top w:val="single" w:color="CCCCCC" w:sz="1"/>
              <w:left w:val="single" w:color="CCCCCC" w:sz="1"/>
              <w:bottom w:val="single" w:color="CCCCCC" w:sz="1"/>
              <w:right w:val="single" w:color="CCCCCC" w:sz="1"/>
            </w:tcBorders>
            <w:shd w:fill="1A3A4A" w:val="clear"/>
            <w:tcMar>
              <w:top w:type="dxa" w:w="80"/>
              <w:left w:type="dxa" w:w="120"/>
              <w:bottom w:type="dxa" w:w="80"/>
              <w:right w:type="dxa" w:w="120"/>
            </w:tcMar>
          </w:tcPr>
          <w:p>
            <w:r>
              <w:rPr>
                <w:rFonts w:ascii="Arial" w:cs="Arial" w:eastAsia="Arial" w:hAnsi="Arial"/>
                <w:b/>
                <w:bCs/>
                <w:color w:val="FFFFFF"/>
                <w:sz w:val="20"/>
                <w:szCs w:val="20"/>
              </w:rPr>
              <w:t xml:space="preserve">Dimension</w:t>
            </w:r>
          </w:p>
        </w:tc>
        <w:tc>
          <w:tcPr>
            <w:tcW w:type="dxa" w:w="3680"/>
            <w:tcBorders>
              <w:top w:val="single" w:color="CCCCCC" w:sz="1"/>
              <w:left w:val="single" w:color="CCCCCC" w:sz="1"/>
              <w:bottom w:val="single" w:color="CCCCCC" w:sz="1"/>
              <w:right w:val="single" w:color="CCCCCC" w:sz="1"/>
            </w:tcBorders>
            <w:shd w:fill="1A3A4A" w:val="clear"/>
            <w:tcMar>
              <w:top w:type="dxa" w:w="80"/>
              <w:left w:type="dxa" w:w="120"/>
              <w:bottom w:type="dxa" w:w="80"/>
              <w:right w:type="dxa" w:w="120"/>
            </w:tcMar>
          </w:tcPr>
          <w:p>
            <w:r>
              <w:rPr>
                <w:rFonts w:ascii="Arial" w:cs="Arial" w:eastAsia="Arial" w:hAnsi="Arial"/>
                <w:b/>
                <w:bCs/>
                <w:color w:val="FFFFFF"/>
                <w:sz w:val="20"/>
                <w:szCs w:val="20"/>
              </w:rPr>
              <w:t xml:space="preserve">Light</w:t>
            </w:r>
          </w:p>
        </w:tc>
        <w:tc>
          <w:tcPr>
            <w:tcW w:type="dxa" w:w="3680"/>
            <w:tcBorders>
              <w:top w:val="single" w:color="CCCCCC" w:sz="1"/>
              <w:left w:val="single" w:color="CCCCCC" w:sz="1"/>
              <w:bottom w:val="single" w:color="CCCCCC" w:sz="1"/>
              <w:right w:val="single" w:color="CCCCCC" w:sz="1"/>
            </w:tcBorders>
            <w:shd w:fill="1A3A4A" w:val="clear"/>
            <w:tcMar>
              <w:top w:type="dxa" w:w="80"/>
              <w:left w:type="dxa" w:w="120"/>
              <w:bottom w:type="dxa" w:w="80"/>
              <w:right w:type="dxa" w:w="120"/>
            </w:tcMar>
          </w:tcPr>
          <w:p>
            <w:r>
              <w:rPr>
                <w:rFonts w:ascii="Arial" w:cs="Arial" w:eastAsia="Arial" w:hAnsi="Arial"/>
                <w:b/>
                <w:bCs/>
                <w:color w:val="FFFFFF"/>
                <w:sz w:val="20"/>
                <w:szCs w:val="20"/>
              </w:rPr>
              <w:t xml:space="preserve">DNA</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Dimensions</w:t>
            </w:r>
          </w:p>
        </w:tc>
        <w:tc>
          <w:tcPr>
            <w:tcW w:type="dxa" w:w="3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48-Dimensional Manifold</w:t>
            </w:r>
          </w:p>
        </w:tc>
        <w:tc>
          <w:tcPr>
            <w:tcW w:type="dxa" w:w="3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4-Base Quaternary Logic (Projected)</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Symmetry</w:t>
            </w:r>
          </w:p>
        </w:tc>
        <w:tc>
          <w:tcPr>
            <w:tcW w:type="dxa" w:w="3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48 Gauge Generators</w:t>
            </w:r>
          </w:p>
        </w:tc>
        <w:tc>
          <w:tcPr>
            <w:tcW w:type="dxa" w:w="3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64-Codon Genetic Matrix</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Stability</w:t>
            </w:r>
          </w:p>
        </w:tc>
        <w:tc>
          <w:tcPr>
            <w:tcW w:type="dxa" w:w="3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Topological Signatures</w:t>
            </w:r>
          </w:p>
        </w:tc>
        <w:tc>
          <w:tcPr>
            <w:tcW w:type="dxa" w:w="3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Reed-Solomon Error Correction</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Constant</w:t>
            </w:r>
          </w:p>
        </w:tc>
        <w:tc>
          <w:tcPr>
            <w:tcW w:type="dxa" w:w="3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Orbital Angular Momentum</w:t>
            </w:r>
          </w:p>
        </w:tc>
        <w:tc>
          <w:tcPr>
            <w:tcW w:type="dxa" w:w="3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The Golden Ratio (φ)</w:t>
            </w:r>
          </w:p>
        </w:tc>
      </w:tr>
    </w:tbl>
    <w:p>
      <w:r>
        <w:br w:type="page"/>
      </w:r>
    </w:p>
    <w:p>
      <w:pPr>
        <w:pStyle w:val="Heading1"/>
      </w:pPr>
      <w:r>
        <w:t xml:space="preserve">Background Story</w:t>
      </w:r>
    </w:p>
    <w:p>
      <w:pPr>
        <w:spacing w:after="240"/>
        <w:jc w:val="center"/>
      </w:pPr>
      <w:r>
        <w:rPr>
          <w:rFonts w:ascii="Garamond" w:cs="Garamond" w:eastAsia="Garamond" w:hAnsi="Garamond"/>
          <w:i/>
          <w:iCs/>
          <w:color w:val="666666"/>
          <w:sz w:val="28"/>
          <w:szCs w:val="28"/>
        </w:rPr>
        <w:t xml:space="preserve">When Intuition Meets AI</w:t>
      </w:r>
    </w:p>
    <w:p>
      <w:pPr>
        <w:spacing w:after="200"/>
      </w:pPr>
      <w:r>
        <w:rPr>
          <w:sz w:val="24"/>
          <w:szCs w:val="24"/>
        </w:rPr>
        <w:t xml:space="preserve">Imagine my surprise when I uploaded a question about how the mathematics of light and the mathematics of DNA might be related.</w:t>
      </w:r>
    </w:p>
    <w:p>
      <w:pPr>
        <w:spacing w:after="200"/>
      </w:pPr>
      <w:r>
        <w:rPr>
          <w:sz w:val="24"/>
          <w:szCs w:val="24"/>
        </w:rPr>
        <w:t xml:space="preserve">This was just a hunch — as I have a distant, non-professional, background in physiological sciences but almost none in physics.</w:t>
      </w:r>
    </w:p>
    <w:p>
      <w:pPr>
        <w:spacing w:after="200"/>
      </w:pPr>
      <w:r>
        <w:rPr>
          <w:sz w:val="24"/>
          <w:szCs w:val="24"/>
        </w:rPr>
        <w:t xml:space="preserve">To me this situation indicates how quickly we can adapt as human beings to the new capabilities available with AI — to expand on ideas which may arise for non-academic, non-professional human beings.</w:t>
      </w:r>
    </w:p>
    <w:p>
      <w:pPr>
        <w:spacing w:after="200"/>
      </w:pPr>
      <w:r>
        <w:rPr>
          <w:sz w:val="24"/>
          <w:szCs w:val="24"/>
        </w:rPr>
        <w:t xml:space="preserve">The most profound shifts in human understanding often begin with a “hunch.” As a non-physicist, I recently asked a seemingly simple question: Is there a formal mathematical relationship between the architecture of light and the architecture of DNA?</w:t>
      </w:r>
    </w:p>
    <w:p>
      <w:pPr>
        <w:spacing w:after="200"/>
      </w:pPr>
      <w:r>
        <w:rPr>
          <w:sz w:val="24"/>
          <w:szCs w:val="24"/>
        </w:rPr>
        <w:t xml:space="preserve">What returned was not just a theoretical “maybe,” but a rigorous alignment of two disparate fields. This journey highlights how AI allows us to leapfrog traditional academic silos, empowering “non-professionals” to synthesize complex data into a unified vision of reality.</w:t>
      </w:r>
    </w:p>
    <w:p>
      <w:r>
        <w:br w:type="page"/>
      </w:r>
    </w:p>
    <w:p>
      <w:pPr>
        <w:pStyle w:val="Heading2"/>
      </w:pPr>
      <w:r>
        <w:t xml:space="preserve">1. Foundational Framework of the Working Hypothesis</w:t>
      </w:r>
    </w:p>
    <w:p>
      <w:pPr>
        <w:spacing w:after="200"/>
      </w:pPr>
      <w:r>
        <w:rPr>
          <w:sz w:val="24"/>
          <w:szCs w:val="24"/>
        </w:rPr>
        <w:t xml:space="preserve">This analysis rigorously evaluates the hypothesis proposed in Luminous Geometry and the Mathematics of Life, which suggests a formal isomorphism between the 48-dimensional manifold of light and the quaternary mathematical architecture of deoxyribonucleic acid (DNA). We move beyond the preliminary observation that these systems are “somewhat similar” to investigate the precise topological and gauge symmetries that may govern both high-dimensional electromagnetic structures and biological information storage.</w:t>
      </w:r>
    </w:p>
    <w:p>
      <w:pPr>
        <w:spacing w:after="200"/>
      </w:pPr>
      <w:r>
        <w:rPr>
          <w:sz w:val="24"/>
          <w:szCs w:val="24"/>
        </w:rPr>
        <w:t xml:space="preserve">The scope of this investigation treats the 48 dimensions not as abstract constructs, but as specific degrees of freedom within a non-Euclidean phase space. The objective is to determine if the “mathematics of life” is a low-dimensional projection of these higher-order luminous geometries.</w:t>
      </w:r>
    </w:p>
    <w:p>
      <w:pPr>
        <w:pStyle w:val="Heading3"/>
      </w:pPr>
      <w:r>
        <w:t xml:space="preserve">Primary Objectives</w:t>
      </w:r>
    </w:p>
    <w:p>
      <w:pPr>
        <w:pStyle w:val="ListParagraph"/>
        <w:numPr>
          <w:ilvl w:val="0"/>
          <w:numId w:val="2"/>
        </w:numPr>
      </w:pPr>
      <w:r>
        <w:rPr>
          <w:sz w:val="22"/>
          <w:szCs w:val="22"/>
        </w:rPr>
        <w:t xml:space="preserve">Establish the gauge symmetry group mappings between the 48 dimensions of light and the 64-codon genetic matrix.</w:t>
      </w:r>
    </w:p>
    <w:p>
      <w:pPr>
        <w:pStyle w:val="ListParagraph"/>
        <w:numPr>
          <w:ilvl w:val="0"/>
          <w:numId w:val="2"/>
        </w:numPr>
      </w:pPr>
      <w:r>
        <w:rPr>
          <w:sz w:val="22"/>
          <w:szCs w:val="22"/>
        </w:rPr>
        <w:t xml:space="preserve">Analyze the topological constraints of a 48-dimensional framework and their implications for coherent state maintenance.</w:t>
      </w:r>
    </w:p>
    <w:p>
      <w:pPr>
        <w:pStyle w:val="ListParagraph"/>
        <w:numPr>
          <w:ilvl w:val="0"/>
          <w:numId w:val="2"/>
        </w:numPr>
      </w:pPr>
      <w:r>
        <w:rPr>
          <w:sz w:val="22"/>
          <w:szCs w:val="22"/>
        </w:rPr>
        <w:t xml:space="preserve">Quantify the algorithmic efficiency of DNA’s Base-4 logic when modeled as a subset of high-dimensional geometric tessellations.</w:t>
      </w:r>
    </w:p>
    <w:p>
      <w:pPr>
        <w:pStyle w:val="ListParagraph"/>
        <w:numPr>
          <w:ilvl w:val="0"/>
          <w:numId w:val="2"/>
        </w:numPr>
        <w:spacing w:after="200"/>
      </w:pPr>
      <w:r>
        <w:rPr>
          <w:sz w:val="22"/>
          <w:szCs w:val="22"/>
        </w:rPr>
        <w:t xml:space="preserve">Synthesize an integrated model of “Luminous Geometry” that accounts for error-correction protocols in biological replication.</w:t>
      </w:r>
    </w:p>
    <w:p>
      <w:r>
        <w:br w:type="page"/>
      </w:r>
    </w:p>
    <w:p>
      <w:pPr>
        <w:pStyle w:val="Heading2"/>
      </w:pPr>
      <w:r>
        <w:t xml:space="preserve">2. Geometric Properties of the 48 Light Dimensions</w:t>
      </w:r>
    </w:p>
    <w:p>
      <w:pPr>
        <w:spacing w:after="200"/>
      </w:pPr>
      <w:r>
        <w:rPr>
          <w:sz w:val="24"/>
          <w:szCs w:val="24"/>
        </w:rPr>
        <w:t xml:space="preserve">The 48-dimensional light framework is conceptualized as a complex Hilbert space characterized by intricate “luminous geometry.” In this model, light is not merely a transverse wave but a manifestation of high-dimensional manifolds—potentially a configuration space where 48 distinct degrees of freedom dictate the behavior of electromagnetic coherence.</w:t>
      </w:r>
    </w:p>
    <w:p>
      <w:pPr>
        <w:pStyle w:val="Heading3"/>
      </w:pPr>
      <w:r>
        <w:t xml:space="preserve">Non-Euclidean Manifold Topology</w:t>
      </w:r>
    </w:p>
    <w:p>
      <w:pPr>
        <w:spacing w:after="200"/>
      </w:pPr>
      <w:r>
        <w:rPr>
          <w:sz w:val="24"/>
          <w:szCs w:val="24"/>
        </w:rPr>
        <w:t xml:space="preserve">The 48 dimensions are hypothesized to exist as a nested Calabi-Yau manifold, providing the necessary vacuum geometry for information encoding at the quantum level.</w:t>
      </w:r>
    </w:p>
    <w:p>
      <w:pPr>
        <w:pStyle w:val="Heading3"/>
      </w:pPr>
      <w:r>
        <w:t xml:space="preserve">Coherent Phase Space Dynamics</w:t>
      </w:r>
    </w:p>
    <w:p>
      <w:pPr>
        <w:spacing w:after="200"/>
      </w:pPr>
      <w:r>
        <w:rPr>
          <w:sz w:val="24"/>
          <w:szCs w:val="24"/>
        </w:rPr>
        <w:t xml:space="preserve">Rather than random dispersion, the geometry maintains structural integrity through coherent phase-locking, allowing for extreme information density across its 48 degrees of freedom.</w:t>
      </w:r>
    </w:p>
    <w:p>
      <w:pPr>
        <w:pStyle w:val="Heading3"/>
      </w:pPr>
      <w:r>
        <w:t xml:space="preserve">Isomorphic Gauge Symmetries</w:t>
      </w:r>
    </w:p>
    <w:p>
      <w:pPr>
        <w:spacing w:after="200"/>
      </w:pPr>
      <w:r>
        <w:rPr>
          <w:sz w:val="24"/>
          <w:szCs w:val="24"/>
        </w:rPr>
        <w:t xml:space="preserve">The framework likely utilizes a symmetry group (such as an extension of SU(3) × SU(2) × U(1)) that provides 48 generators, serving as the mathematical template for energy-to-matter transitions.</w:t>
      </w:r>
    </w:p>
    <w:p>
      <w:r>
        <w:br w:type="page"/>
      </w:r>
    </w:p>
    <w:p>
      <w:pPr>
        <w:pStyle w:val="Heading2"/>
      </w:pPr>
      <w:r>
        <w:t xml:space="preserve">3. Mathematical Architecture of DNA Structure</w:t>
      </w:r>
    </w:p>
    <w:p>
      <w:pPr>
        <w:pStyle w:val="Heading3"/>
      </w:pPr>
      <w:r>
        <w:t xml:space="preserve">Quaternary Algorithmic Logic and Base-4 Parity</w:t>
      </w:r>
    </w:p>
    <w:p>
      <w:pPr>
        <w:spacing w:after="200"/>
      </w:pPr>
      <w:r>
        <w:rPr>
          <w:sz w:val="24"/>
          <w:szCs w:val="24"/>
        </w:rPr>
        <w:t xml:space="preserve">DNA functions as a discrete mathematical system utilizing four nucleotide bases. This Base-4 logic is not merely chemical; it incorporates parity checks and Reed-Solomon-style error-correction codes to maintain genomic integrity across billions of iterations.</w:t>
      </w:r>
    </w:p>
    <w:p>
      <w:pPr>
        <w:pStyle w:val="Heading3"/>
      </w:pPr>
      <w:r>
        <w:t xml:space="preserve">Golden Ratio (φ) and Helical Periodicity</w:t>
      </w:r>
    </w:p>
    <w:p>
      <w:pPr>
        <w:spacing w:after="200"/>
      </w:pPr>
      <w:r>
        <w:rPr>
          <w:sz w:val="24"/>
          <w:szCs w:val="24"/>
        </w:rPr>
        <w:t xml:space="preserve">The DNA double helix exhibits a structural ratio of approximately 34 Angstroms in length to 21 Angstroms in width per full turn. This ratio (≈ 1.619) closely approximates the Golden Ratio (φ), suggesting that DNA is a fractal manifestation of a deeper geometric optimization found in high-dimensional light lattices.</w:t>
      </w:r>
    </w:p>
    <w:p>
      <w:pPr>
        <w:pStyle w:val="Heading3"/>
      </w:pPr>
      <w:r>
        <w:t xml:space="preserve">Topological Stabilizers and Chromatin Folding</w:t>
      </w:r>
    </w:p>
    <w:p>
      <w:pPr>
        <w:spacing w:after="200"/>
      </w:pPr>
      <w:r>
        <w:rPr>
          <w:sz w:val="24"/>
          <w:szCs w:val="24"/>
        </w:rPr>
        <w:t xml:space="preserve">The transition from linear sequencing to 3D chromatin architecture requires complex topological stabilizers. This folding follows specific geometric constraints that prevent entanglement, mirroring the way high-dimensional tensors are compressed into lower-dimensional projections without data loss.</w:t>
      </w:r>
    </w:p>
    <w:p>
      <w:r>
        <w:br w:type="page"/>
      </w:r>
    </w:p>
    <w:p>
      <w:pPr>
        <w:pStyle w:val="Heading2"/>
      </w:pPr>
      <w:r>
        <w:t xml:space="preserve">4. Comparative Synthesis: Coding and Symmetry Correspondences</w:t>
      </w:r>
    </w:p>
    <w:p>
      <w:pPr>
        <w:spacing w:after="200"/>
      </w:pPr>
      <w:r>
        <w:rPr>
          <w:sz w:val="24"/>
          <w:szCs w:val="24"/>
        </w:rPr>
        <w:t xml:space="preserve">The following table synthesizes the hypothesized correspondences between the 48-dimensional light framework and the mathematical invariants of DNA.</w:t>
      </w:r>
    </w:p>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A3A4A" w:val="clear"/>
            <w:tcMar>
              <w:top w:type="dxa" w:w="80"/>
              <w:left w:type="dxa" w:w="120"/>
              <w:bottom w:type="dxa" w:w="80"/>
              <w:right w:type="dxa" w:w="120"/>
            </w:tcMar>
          </w:tcPr>
          <w:p>
            <w:r>
              <w:rPr>
                <w:rFonts w:ascii="Arial" w:cs="Arial" w:eastAsia="Arial" w:hAnsi="Arial"/>
                <w:b/>
                <w:bCs/>
                <w:color w:val="FFFFFF"/>
                <w:sz w:val="20"/>
                <w:szCs w:val="20"/>
              </w:rPr>
              <w:t xml:space="preserve">48-Dimensional Light Framework</w:t>
            </w:r>
          </w:p>
        </w:tc>
        <w:tc>
          <w:tcPr>
            <w:tcW w:type="dxa" w:w="4680"/>
            <w:tcBorders>
              <w:top w:val="single" w:color="CCCCCC" w:sz="1"/>
              <w:left w:val="single" w:color="CCCCCC" w:sz="1"/>
              <w:bottom w:val="single" w:color="CCCCCC" w:sz="1"/>
              <w:right w:val="single" w:color="CCCCCC" w:sz="1"/>
            </w:tcBorders>
            <w:shd w:fill="1A3A4A" w:val="clear"/>
            <w:tcMar>
              <w:top w:type="dxa" w:w="80"/>
              <w:left w:type="dxa" w:w="120"/>
              <w:bottom w:type="dxa" w:w="80"/>
              <w:right w:type="dxa" w:w="120"/>
            </w:tcMar>
          </w:tcPr>
          <w:p>
            <w:r>
              <w:rPr>
                <w:rFonts w:ascii="Arial" w:cs="Arial" w:eastAsia="Arial" w:hAnsi="Arial"/>
                <w:b/>
                <w:bCs/>
                <w:color w:val="FFFFFF"/>
                <w:sz w:val="20"/>
                <w:szCs w:val="20"/>
              </w:rPr>
              <w:t xml:space="preserve">DNA Mathematical Correspondences</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48-degree manifold projection</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64-codon mapping with 16-fold redundancy</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Electromagnetic frequency modularity</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Nucleotide sequencing variability and epigenetics</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SU(N) Lie group symmetry generators</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Quaternary algorithmic parity and error correction</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Luminous tessellation (high-density)</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Chromatin folding and topological data packing</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Phase-coherent vacuum geometry</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Golden Ratio (φ) helical proportions</w:t>
            </w:r>
          </w:p>
        </w:tc>
      </w:tr>
    </w:tbl>
    <w:p>
      <w:pPr>
        <w:spacing w:before="300"/>
      </w:pPr>
    </w:p>
    <w:p>
      <w:pPr>
        <w:pStyle w:val="Heading3"/>
      </w:pPr>
      <w:r>
        <w:t xml:space="preserve">Sub-Manifold Mapping</w:t>
      </w:r>
    </w:p>
    <w:p>
      <w:pPr>
        <w:spacing w:after="200"/>
      </w:pPr>
      <w:r>
        <w:rPr>
          <w:sz w:val="24"/>
          <w:szCs w:val="24"/>
        </w:rPr>
        <w:t xml:space="preserve">The 48 dimensions can be modeled as four 12-dimensional sub-manifolds, each corresponding to one of the four DNA bases (A, T, C, G), providing the required degrees of freedom for complex protein folding instructions.</w:t>
      </w:r>
    </w:p>
    <w:p>
      <w:pPr>
        <w:pStyle w:val="Heading3"/>
      </w:pPr>
      <w:r>
        <w:t xml:space="preserve">Topological Isomorphism</w:t>
      </w:r>
    </w:p>
    <w:p>
      <w:pPr>
        <w:spacing w:after="200"/>
      </w:pPr>
      <w:r>
        <w:rPr>
          <w:sz w:val="24"/>
          <w:szCs w:val="24"/>
        </w:rPr>
        <w:t xml:space="preserve">The “luminous geometry” of light dimensions appears to share a homeomorphism with the knotted structures of supercoiled DNA, suggesting a shared mathematical origin.</w:t>
      </w:r>
    </w:p>
    <w:p>
      <w:pPr>
        <w:pStyle w:val="Heading3"/>
      </w:pPr>
      <w:r>
        <w:t xml:space="preserve">Quantum Information Density</w:t>
      </w:r>
    </w:p>
    <w:p>
      <w:pPr>
        <w:spacing w:after="200"/>
      </w:pPr>
      <w:r>
        <w:rPr>
          <w:sz w:val="24"/>
          <w:szCs w:val="24"/>
        </w:rPr>
        <w:t xml:space="preserve">The 48-dimensional framework provides the necessary mathematical constraints to explain how “junk” or non-coding DNA acts as a topological stabilizer for the primary genetic sequence.</w:t>
      </w:r>
    </w:p>
    <w:p>
      <w:r>
        <w:br w:type="page"/>
      </w:r>
    </w:p>
    <w:p>
      <w:pPr>
        <w:pStyle w:val="Heading2"/>
      </w:pPr>
      <w:r>
        <w:t xml:space="preserve">5. Analytical Observation of Systemic Similarities</w:t>
      </w:r>
    </w:p>
    <w:p>
      <w:pPr>
        <w:spacing w:after="200"/>
      </w:pPr>
      <w:r>
        <w:rPr>
          <w:sz w:val="24"/>
          <w:szCs w:val="24"/>
        </w:rPr>
        <w:t xml:space="preserve">Our analysis suggests that the “somewhat similar” nature of these two systems is a result of geometric recursion. The 48 dimensions of light represent the “source code” or the high-dimensional blueprint, while the mathematics of DNA represents the localized, biological execution of that code.</w:t>
      </w:r>
    </w:p>
    <w:p>
      <w:pPr>
        <w:pStyle w:val="Heading3"/>
      </w:pPr>
      <w:r>
        <w:t xml:space="preserve">Key Findings</w:t>
      </w:r>
    </w:p>
    <w:p>
      <w:pPr>
        <w:pStyle w:val="ListParagraph"/>
        <w:numPr>
          <w:ilvl w:val="0"/>
          <w:numId w:val="2"/>
        </w:numPr>
      </w:pPr>
      <w:r>
        <w:rPr>
          <w:sz w:val="22"/>
          <w:szCs w:val="22"/>
        </w:rPr>
        <w:t xml:space="preserve">Dimensional Compression: DNA mathematics may be a 3-dimensional projection of a 48-dimensional luminous manifold, utilizing the Golden Ratio as a scaling constant.</w:t>
      </w:r>
    </w:p>
    <w:p>
      <w:pPr>
        <w:pStyle w:val="ListParagraph"/>
        <w:numPr>
          <w:ilvl w:val="0"/>
          <w:numId w:val="2"/>
        </w:numPr>
      </w:pPr>
      <w:r>
        <w:rPr>
          <w:sz w:val="22"/>
          <w:szCs w:val="22"/>
        </w:rPr>
        <w:t xml:space="preserve">Algebraic Correspondence: The 48 degrees of freedom in light geometry provide the exact mathematical “overhead” required to manage the error-correction codes found in biological DNA.</w:t>
      </w:r>
    </w:p>
    <w:p>
      <w:pPr>
        <w:pStyle w:val="ListParagraph"/>
        <w:numPr>
          <w:ilvl w:val="0"/>
          <w:numId w:val="2"/>
        </w:numPr>
        <w:spacing w:after="200"/>
      </w:pPr>
      <w:r>
        <w:rPr>
          <w:sz w:val="22"/>
          <w:szCs w:val="22"/>
        </w:rPr>
        <w:t xml:space="preserve">Unified Field Logic: Both systems operate on a principle of “maximum information density within minimal geometric volume,” pointing toward a unified quantum geometrician model of life.</w:t>
      </w:r>
    </w:p>
    <w:p>
      <w:pPr>
        <w:spacing w:after="200" w:before="120"/>
        <w:jc w:val="center"/>
      </w:pPr>
      <w:r>
        <w:rPr>
          <w:rFonts w:ascii="Garamond" w:cs="Garamond" w:eastAsia="Garamond" w:hAnsi="Garamond"/>
          <w:b/>
          <w:bCs/>
          <w:i/>
          <w:iCs/>
          <w:color w:val="008080"/>
          <w:sz w:val="28"/>
          <w:szCs w:val="28"/>
        </w:rPr>
        <w:t xml:space="preserve">Light is the software; DNA is the hardware.</w:t>
      </w:r>
    </w:p>
    <w:p>
      <w:r>
        <w:br w:type="page"/>
      </w:r>
    </w:p>
    <w:p>
      <w:pPr>
        <w:spacing w:before="1200"/>
      </w:pPr>
    </w:p>
    <w:p>
      <w:pPr>
        <w:spacing w:after="120"/>
        <w:jc w:val="center"/>
      </w:pPr>
      <w:r>
        <w:rPr>
          <w:rFonts w:ascii="Garamond" w:cs="Garamond" w:eastAsia="Garamond" w:hAnsi="Garamond"/>
          <w:b/>
          <w:bCs/>
          <w:color w:val="999999"/>
          <w:sz w:val="20"/>
          <w:szCs w:val="20"/>
        </w:rPr>
        <w:t xml:space="preserve">PART II</w:t>
      </w:r>
    </w:p>
    <w:p>
      <w:pPr>
        <w:pStyle w:val="Heading1"/>
      </w:pPr>
      <w:r>
        <w:t xml:space="preserve">High-Dimensional Bio-Cosmology</w:t>
      </w:r>
    </w:p>
    <w:p>
      <w:pPr>
        <w:spacing w:after="360"/>
        <w:jc w:val="center"/>
      </w:pPr>
      <w:r>
        <w:rPr>
          <w:rFonts w:ascii="Garamond" w:cs="Garamond" w:eastAsia="Garamond" w:hAnsi="Garamond"/>
          <w:i/>
          <w:iCs/>
          <w:color w:val="666666"/>
          <w:sz w:val="24"/>
          <w:szCs w:val="24"/>
        </w:rPr>
        <w:t xml:space="preserve">A Synthesis of Quantum Optics, Genetic Geometry, and the Informational Field</w:t>
      </w:r>
    </w:p>
    <w:p>
      <w:r>
        <w:br w:type="page"/>
      </w:r>
    </w:p>
    <w:p>
      <w:pPr>
        <w:pStyle w:val="Heading2"/>
      </w:pPr>
      <w:r>
        <w:t xml:space="preserve">1. High-Dimensional Quantum Optics and Topological Signatures</w:t>
      </w:r>
    </w:p>
    <w:p>
      <w:pPr>
        <w:spacing w:after="200"/>
      </w:pPr>
      <w:r>
        <w:rPr>
          <w:sz w:val="24"/>
          <w:szCs w:val="24"/>
        </w:rPr>
        <w:t xml:space="preserve">Recent breakthroughs from the University of the Witwatersrand have fundamentally altered our understanding of entangled light, revealing a hidden architecture that mirrors the fundamental structure of matter.</w:t>
      </w:r>
    </w:p>
    <w:p>
      <w:pPr>
        <w:pStyle w:val="Heading3"/>
      </w:pPr>
      <w:r>
        <w:t xml:space="preserve">Dimensionality and Complexity</w:t>
      </w:r>
    </w:p>
    <w:p>
      <w:pPr>
        <w:spacing w:after="200"/>
      </w:pPr>
      <w:r>
        <w:rPr>
          <w:sz w:val="24"/>
          <w:szCs w:val="24"/>
        </w:rPr>
        <w:t xml:space="preserve">Using advanced quantum optics, researchers identified a 48-dimensional structure within entangled photons, characterized by over 17,000 distinct topological signatures. These signatures represent invariant features of entanglement that persist despite environmental perturbation.</w:t>
      </w:r>
    </w:p>
    <w:p>
      <w:pPr>
        <w:pStyle w:val="Heading3"/>
      </w:pPr>
      <w:r>
        <w:t xml:space="preserve">Mechanisms of Emergence</w:t>
      </w:r>
    </w:p>
    <w:p>
      <w:pPr>
        <w:spacing w:after="200"/>
      </w:pPr>
      <w:r>
        <w:rPr>
          <w:sz w:val="24"/>
          <w:szCs w:val="24"/>
        </w:rPr>
        <w:t xml:space="preserve">These high-dimensional structures emerge from a single property of light: Orbital Angular Momentum (OAM). By utilizing Spontaneous Parametric Downconversion (SPDC), scientists found that OAM provides a near-infinite range of values, allowing for the generation of complex topologies without requiring multiple properties (such as polarization).</w:t>
      </w:r>
    </w:p>
    <w:p>
      <w:pPr>
        <w:pStyle w:val="Heading3"/>
      </w:pPr>
      <w:r>
        <w:t xml:space="preserve">Information Encoding and Topological Stability</w:t>
      </w:r>
    </w:p>
    <w:p>
      <w:pPr>
        <w:pStyle w:val="ListParagraph"/>
        <w:numPr>
          <w:ilvl w:val="0"/>
          <w:numId w:val="2"/>
        </w:numPr>
      </w:pPr>
      <w:r>
        <w:rPr>
          <w:sz w:val="22"/>
          <w:szCs w:val="22"/>
        </w:rPr>
        <w:t xml:space="preserve">Alphabet Expansion: The massive set of symbols allows for high-fidelity quantum communication.</w:t>
      </w:r>
    </w:p>
    <w:p>
      <w:pPr>
        <w:pStyle w:val="ListParagraph"/>
        <w:numPr>
          <w:ilvl w:val="0"/>
          <w:numId w:val="2"/>
        </w:numPr>
        <w:spacing w:after="200"/>
      </w:pPr>
      <w:r>
        <w:rPr>
          <w:sz w:val="22"/>
          <w:szCs w:val="22"/>
        </w:rPr>
        <w:t xml:space="preserve">Noise Protection via Topology: Unlike standard quantum states, topological signatures are intrinsically stable. If light can be noise-proofed through topology, it stands to reason that biological systems utilize these same high-dimensional signatures to maintain quantum coherence within the “warm, wet” cellular environment.</w:t>
      </w:r>
    </w:p>
    <w:p>
      <w:r>
        <w:br w:type="page"/>
      </w:r>
    </w:p>
    <w:p>
      <w:pPr>
        <w:pStyle w:val="Heading2"/>
      </w:pPr>
      <w:r>
        <w:t xml:space="preserve">2. The Geometric Foundations of DNA and Biological Life</w:t>
      </w:r>
    </w:p>
    <w:p>
      <w:pPr>
        <w:pStyle w:val="Heading3"/>
      </w:pPr>
      <w:r>
        <w:t xml:space="preserve">The 6:5 Ratio and Transcendental Constants</w:t>
      </w:r>
    </w:p>
    <w:p>
      <w:pPr>
        <w:spacing w:after="200"/>
      </w:pPr>
      <w:r>
        <w:rPr>
          <w:sz w:val="24"/>
          <w:szCs w:val="24"/>
        </w:rPr>
        <w:t xml:space="preserve">A half-turn (180°) of the DNA spiral contains five base pairs inside the turn, framed by six base pairs. This 6:5 ratio acts as a mathematical bridge between the growth constant φ and the unity constant π:</w:t>
      </w:r>
    </w:p>
    <w:p>
      <w:pPr>
        <w:pBdr>
          <w:top w:val="single" w:color="DDDDDD" w:sz="1" w:space="8"/>
          <w:bottom w:val="single" w:color="DDDDDD" w:sz="1" w:space="8"/>
        </w:pBdr>
        <w:spacing w:after="240" w:before="240"/>
        <w:jc w:val="center"/>
      </w:pPr>
      <w:r>
        <w:rPr>
          <w:rFonts w:ascii="Cambria Math" w:cs="Cambria Math" w:eastAsia="Cambria Math" w:hAnsi="Cambria Math"/>
          <w:b/>
          <w:bCs/>
          <w:color w:val="1A0A2E"/>
          <w:sz w:val="28"/>
          <w:szCs w:val="28"/>
        </w:rPr>
        <w:t xml:space="preserve">(6/5) × φ² ≈ π</w:t>
      </w:r>
    </w:p>
    <w:p>
      <w:pPr>
        <w:spacing w:after="200"/>
      </w:pPr>
      <w:r>
        <w:rPr>
          <w:sz w:val="24"/>
          <w:szCs w:val="24"/>
        </w:rPr>
        <w:t xml:space="preserve">This conversion of the Golden Mean squared (φ² ≈ 2.618) into the function of the perfect circle (π ≈ 3.1416) suggests that DNA is a geometric engine designed to harmonize evolutionary growth (φ) with cosmic destination (π).</w:t>
      </w:r>
    </w:p>
    <w:p>
      <w:pPr>
        <w:pStyle w:val="Heading3"/>
      </w:pPr>
      <w:r>
        <w:t xml:space="preserve">Platonic Solid Architectures</w:t>
      </w:r>
    </w:p>
    <w:p>
      <w:pPr>
        <w:spacing w:after="200"/>
      </w:pPr>
      <w:r>
        <w:rPr>
          <w:sz w:val="24"/>
          <w:szCs w:val="24"/>
        </w:rPr>
        <w:t xml:space="preserve">DNA is not a random coil but a structured projection of Platonic ideals.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4360"/>
      </w:tblGrid>
      <w:tr>
        <w:tc>
          <w:tcPr>
            <w:tcW w:type="dxa" w:w="2500"/>
            <w:tcBorders>
              <w:top w:val="single" w:color="CCCCCC" w:sz="1"/>
              <w:left w:val="single" w:color="CCCCCC" w:sz="1"/>
              <w:bottom w:val="single" w:color="CCCCCC" w:sz="1"/>
              <w:right w:val="single" w:color="CCCCCC" w:sz="1"/>
            </w:tcBorders>
            <w:shd w:fill="1A3A4A" w:val="clear"/>
            <w:tcMar>
              <w:top w:type="dxa" w:w="80"/>
              <w:left w:type="dxa" w:w="120"/>
              <w:bottom w:type="dxa" w:w="80"/>
              <w:right w:type="dxa" w:w="120"/>
            </w:tcMar>
          </w:tcPr>
          <w:p>
            <w:r>
              <w:rPr>
                <w:rFonts w:ascii="Arial" w:cs="Arial" w:eastAsia="Arial" w:hAnsi="Arial"/>
                <w:b/>
                <w:bCs/>
                <w:color w:val="FFFFFF"/>
                <w:sz w:val="20"/>
                <w:szCs w:val="20"/>
              </w:rPr>
              <w:t xml:space="preserve">DNA Component</w:t>
            </w:r>
          </w:p>
        </w:tc>
        <w:tc>
          <w:tcPr>
            <w:tcW w:type="dxa" w:w="2500"/>
            <w:tcBorders>
              <w:top w:val="single" w:color="CCCCCC" w:sz="1"/>
              <w:left w:val="single" w:color="CCCCCC" w:sz="1"/>
              <w:bottom w:val="single" w:color="CCCCCC" w:sz="1"/>
              <w:right w:val="single" w:color="CCCCCC" w:sz="1"/>
            </w:tcBorders>
            <w:shd w:fill="1A3A4A" w:val="clear"/>
            <w:tcMar>
              <w:top w:type="dxa" w:w="80"/>
              <w:left w:type="dxa" w:w="120"/>
              <w:bottom w:type="dxa" w:w="80"/>
              <w:right w:type="dxa" w:w="120"/>
            </w:tcMar>
          </w:tcPr>
          <w:p>
            <w:r>
              <w:rPr>
                <w:rFonts w:ascii="Arial" w:cs="Arial" w:eastAsia="Arial" w:hAnsi="Arial"/>
                <w:b/>
                <w:bCs/>
                <w:color w:val="FFFFFF"/>
                <w:sz w:val="20"/>
                <w:szCs w:val="20"/>
              </w:rPr>
              <w:t xml:space="preserve">Geometric Form</w:t>
            </w:r>
          </w:p>
        </w:tc>
        <w:tc>
          <w:tcPr>
            <w:tcW w:type="dxa" w:w="4360"/>
            <w:tcBorders>
              <w:top w:val="single" w:color="CCCCCC" w:sz="1"/>
              <w:left w:val="single" w:color="CCCCCC" w:sz="1"/>
              <w:bottom w:val="single" w:color="CCCCCC" w:sz="1"/>
              <w:right w:val="single" w:color="CCCCCC" w:sz="1"/>
            </w:tcBorders>
            <w:shd w:fill="1A3A4A"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Deoxyribose Sugar</w:t>
            </w:r>
          </w:p>
        </w:tc>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Pentagon</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5 carbon atoms, 1 oxygen atom ring</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Nitrogen Bases</w:t>
            </w:r>
          </w:p>
        </w:tc>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Hexagons / Pentagons</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Purines (A, G) use both; Pyrimidines (C, T) are hexagons</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Phosphate Molecule</w:t>
            </w:r>
          </w:p>
        </w:tc>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4-fold Cross</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4 oxygen atoms and 1 phosphorus atom</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Nitrogen Base Relations</w:t>
            </w:r>
          </w:p>
        </w:tc>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Tetrahedron</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Bases relate to the four sides of a tetrahedron</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Ideal Genetic Form</w:t>
            </w:r>
          </w:p>
        </w:tc>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Dodecahedron</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sz w:val="20"/>
                <w:szCs w:val="20"/>
              </w:rPr>
              <w:t xml:space="preserve">Stacked/rotating dodecahedra; 12 twists relate to 12 faces</w:t>
            </w:r>
          </w:p>
        </w:tc>
      </w:tr>
    </w:tbl>
    <w:p>
      <w:pPr>
        <w:spacing w:before="300"/>
      </w:pPr>
    </w:p>
    <w:p>
      <w:pPr>
        <w:pStyle w:val="Heading3"/>
      </w:pPr>
      <w:r>
        <w:t xml:space="preserve">The Pi-Mass Formula: The Equation of Life</w:t>
      </w:r>
    </w:p>
    <w:p>
      <w:pPr>
        <w:spacing w:after="200"/>
      </w:pPr>
      <w:r>
        <w:rPr>
          <w:sz w:val="24"/>
          <w:szCs w:val="24"/>
        </w:rPr>
        <w:t xml:space="preserve">Jean-Claude Perez’s “Equation of Life” demonstrates that atomic masses are not arbitrary but are fine-tuned to a digital integer code.</w:t>
      </w:r>
    </w:p>
    <w:p>
      <w:pPr>
        <w:pBdr>
          <w:top w:val="single" w:color="DDDDDD" w:sz="1" w:space="8"/>
          <w:bottom w:val="single" w:color="DDDDDD" w:sz="1" w:space="8"/>
        </w:pBdr>
        <w:spacing w:after="240" w:before="240"/>
        <w:jc w:val="center"/>
      </w:pPr>
      <w:r>
        <w:rPr>
          <w:rFonts w:ascii="Cambria Math" w:cs="Cambria Math" w:eastAsia="Cambria Math" w:hAnsi="Cambria Math"/>
          <w:b/>
          <w:bCs/>
          <w:color w:val="1A0A2E"/>
          <w:sz w:val="28"/>
          <w:szCs w:val="28"/>
        </w:rPr>
        <w:t xml:space="preserve">Proj(m) = [1 - (P · π)] · m,  where P ≈ 0.7423</w:t>
      </w:r>
    </w:p>
    <w:p>
      <w:pPr>
        <w:spacing w:after="200"/>
      </w:pPr>
      <w:r>
        <w:rPr>
          <w:sz w:val="24"/>
          <w:szCs w:val="24"/>
        </w:rPr>
        <w:t xml:space="preserve">This formula projects the average atomic weights of C, O, N, and H into a scale of integers between -3 and +7. Critically, individual isotopes or slight perturbations “destroy” this optimality, proving that the specific isotopic proportions found in the biosphere are mathematically noise-proofed for this code.</w:t>
      </w:r>
    </w:p>
    <w:p>
      <w:r>
        <w:br w:type="page"/>
      </w:r>
    </w:p>
    <w:p>
      <w:pPr>
        <w:pStyle w:val="Heading2"/>
      </w:pPr>
      <w:r>
        <w:t xml:space="preserve">3. The Informational Field Consciousness Theory (IFCT)</w:t>
      </w:r>
    </w:p>
    <w:p>
      <w:pPr>
        <w:spacing w:after="200"/>
      </w:pPr>
      <w:r>
        <w:rPr>
          <w:sz w:val="24"/>
          <w:szCs w:val="24"/>
        </w:rPr>
        <w:t xml:space="preserve">IFCT resolves the “Hard Problem” by positing that consciousness is a fundamental substrate, not a biological byproduct.</w:t>
      </w:r>
    </w:p>
    <w:p>
      <w:pPr>
        <w:pStyle w:val="Heading3"/>
      </w:pPr>
      <w:r>
        <w:t xml:space="preserve">Core Propositions</w:t>
      </w:r>
    </w:p>
    <w:p>
      <w:pPr>
        <w:pStyle w:val="ListParagraph"/>
        <w:numPr>
          <w:ilvl w:val="0"/>
          <w:numId w:val="2"/>
        </w:numPr>
      </w:pPr>
      <w:r>
        <w:rPr>
          <w:sz w:val="22"/>
          <w:szCs w:val="22"/>
        </w:rPr>
        <w:t xml:space="preserve">Dual-Aspect Monism: Reality is informational. Mental and physical aspects are dual manifestations of a single Informational Field (IF).</w:t>
      </w:r>
    </w:p>
    <w:p>
      <w:pPr>
        <w:pStyle w:val="ListParagraph"/>
        <w:numPr>
          <w:ilvl w:val="0"/>
          <w:numId w:val="2"/>
        </w:numPr>
      </w:pPr>
      <w:r>
        <w:rPr>
          <w:sz w:val="22"/>
          <w:szCs w:val="22"/>
        </w:rPr>
        <w:t xml:space="preserve">DNA as Antenna: DNA acts as a resonant fractal antenna coupling the biological organism to the IF.</w:t>
      </w:r>
    </w:p>
    <w:p>
      <w:pPr>
        <w:pStyle w:val="ListParagraph"/>
        <w:numPr>
          <w:ilvl w:val="0"/>
          <w:numId w:val="2"/>
        </w:numPr>
      </w:pPr>
      <w:r>
        <w:rPr>
          <w:sz w:val="22"/>
          <w:szCs w:val="22"/>
        </w:rPr>
        <w:t xml:space="preserve">The Filter Model: Individual consciousness is a “perspectival illusion” of separation. The brain does not generate experience; it filters it from the IF.</w:t>
      </w:r>
    </w:p>
    <w:p>
      <w:pPr>
        <w:pStyle w:val="ListParagraph"/>
        <w:numPr>
          <w:ilvl w:val="0"/>
          <w:numId w:val="2"/>
        </w:numPr>
        <w:spacing w:after="200"/>
      </w:pPr>
      <w:r>
        <w:rPr>
          <w:sz w:val="22"/>
          <w:szCs w:val="22"/>
        </w:rPr>
        <w:t xml:space="preserve">Rendered Density: The complexity of the neural processor determines the density and quality of the rendered experience.</w:t>
      </w:r>
    </w:p>
    <w:p>
      <w:pPr>
        <w:pStyle w:val="Heading3"/>
      </w:pPr>
      <w:r>
        <w:t xml:space="preserve">Heuristic Representation</w:t>
      </w:r>
    </w:p>
    <w:p>
      <w:pPr>
        <w:pBdr>
          <w:top w:val="single" w:color="DDDDDD" w:sz="1" w:space="8"/>
          <w:bottom w:val="single" w:color="DDDDDD" w:sz="1" w:space="8"/>
        </w:pBdr>
        <w:spacing w:after="240" w:before="240"/>
        <w:jc w:val="center"/>
      </w:pPr>
      <w:r>
        <w:rPr>
          <w:rFonts w:ascii="Cambria Math" w:cs="Cambria Math" w:eastAsia="Cambria Math" w:hAnsi="Cambria Math"/>
          <w:b/>
          <w:bCs/>
          <w:color w:val="1A0A2E"/>
          <w:sz w:val="28"/>
          <w:szCs w:val="28"/>
        </w:rPr>
        <w:t xml:space="preserve">Ψ_individual(t) ~ F[Ψ_IF, DNA_antenna, Brain_processor(t)]</w:t>
      </w:r>
    </w:p>
    <w:p>
      <w:pPr>
        <w:spacing w:after="200"/>
      </w:pPr>
      <w:r>
        <w:rPr>
          <w:sz w:val="24"/>
          <w:szCs w:val="24"/>
        </w:rPr>
        <w:t xml:space="preserve">Here, F represents the filtering function that translates the infinite field into a finite subjective experience.</w:t>
      </w:r>
    </w:p>
    <w:p>
      <w:r>
        <w:br w:type="page"/>
      </w:r>
    </w:p>
    <w:p>
      <w:pPr>
        <w:pStyle w:val="Heading2"/>
      </w:pPr>
      <w:r>
        <w:t xml:space="preserve">4. Quantum Biological Mechanisms: Antennae and Resonators</w:t>
      </w:r>
    </w:p>
    <w:p>
      <w:pPr>
        <w:pStyle w:val="Heading3"/>
      </w:pPr>
      <w:r>
        <w:t xml:space="preserve">DNA as a Fractal Antenna</w:t>
      </w:r>
    </w:p>
    <w:p>
      <w:pPr>
        <w:spacing w:after="200"/>
      </w:pPr>
      <w:r>
        <w:rPr>
          <w:sz w:val="24"/>
          <w:szCs w:val="24"/>
        </w:rPr>
        <w:t xml:space="preserve">DNA meets all criteria for a broad-spectrum fractal antenna:</w:t>
      </w:r>
    </w:p>
    <w:p>
      <w:pPr>
        <w:pStyle w:val="ListParagraph"/>
        <w:numPr>
          <w:ilvl w:val="0"/>
          <w:numId w:val="2"/>
        </w:numPr>
      </w:pPr>
      <w:r>
        <w:rPr>
          <w:sz w:val="22"/>
          <w:szCs w:val="22"/>
        </w:rPr>
        <w:t xml:space="preserve">Electronic Conduction: The π-electron clouds of stacked nucleobases create a conductive axis.</w:t>
      </w:r>
    </w:p>
    <w:p>
      <w:pPr>
        <w:pStyle w:val="ListParagraph"/>
        <w:numPr>
          <w:ilvl w:val="0"/>
          <w:numId w:val="2"/>
        </w:numPr>
      </w:pPr>
      <w:r>
        <w:rPr>
          <w:sz w:val="22"/>
          <w:szCs w:val="22"/>
        </w:rPr>
        <w:t xml:space="preserve">Helical Optimization: The 3.4 nm pitch corresponds to resonant frequencies in the 1–10 THz range.</w:t>
      </w:r>
    </w:p>
    <w:p>
      <w:pPr>
        <w:pStyle w:val="ListParagraph"/>
        <w:numPr>
          <w:ilvl w:val="0"/>
          <w:numId w:val="2"/>
        </w:numPr>
        <w:spacing w:after="200"/>
      </w:pPr>
      <w:r>
        <w:rPr>
          <w:sz w:val="22"/>
          <w:szCs w:val="22"/>
        </w:rPr>
        <w:t xml:space="preserve">Fractal Geometry: Its self-symmetry allows interaction across the electromagnetic spectrum, from ELF to optical.</w:t>
      </w:r>
    </w:p>
    <w:p>
      <w:pPr>
        <w:pStyle w:val="Heading3"/>
      </w:pPr>
      <w:r>
        <w:t xml:space="preserve">Microtubule Bio-Resonators</w:t>
      </w:r>
    </w:p>
    <w:p>
      <w:pPr>
        <w:spacing w:after="200"/>
      </w:pPr>
      <w:r>
        <w:rPr>
          <w:sz w:val="24"/>
          <w:szCs w:val="24"/>
        </w:rPr>
        <w:t xml:space="preserve">Microtubules act as high-frequency light guides, resonating at ultraviolet frequencies (~10¹⁶ Hz). We propose a “Handshake Protocol” where the 1–10 THz resonance of DNA frequency-locks with microtubule vibrations, allowing the genetic “receiver” to transmit data to the neural “processor.”</w:t>
      </w:r>
    </w:p>
    <w:p>
      <w:pPr>
        <w:pStyle w:val="Heading3"/>
      </w:pPr>
      <w:r>
        <w:t xml:space="preserve">Decoherence Protection</w:t>
      </w:r>
    </w:p>
    <w:p>
      <w:pPr>
        <w:pStyle w:val="ListParagraph"/>
        <w:numPr>
          <w:ilvl w:val="0"/>
          <w:numId w:val="2"/>
        </w:numPr>
      </w:pPr>
      <w:r>
        <w:rPr>
          <w:sz w:val="22"/>
          <w:szCs w:val="22"/>
        </w:rPr>
        <w:t xml:space="preserve">Topological Stability: Utilizing the 17,000+ signatures to noise-proof quantum information.</w:t>
      </w:r>
    </w:p>
    <w:p>
      <w:pPr>
        <w:pStyle w:val="ListParagraph"/>
        <w:numPr>
          <w:ilvl w:val="0"/>
          <w:numId w:val="2"/>
        </w:numPr>
      </w:pPr>
      <w:r>
        <w:rPr>
          <w:sz w:val="22"/>
          <w:szCs w:val="22"/>
        </w:rPr>
        <w:t xml:space="preserve">Astrocyte Fields: Astrocyte-generated biomagnetic fields that shield the “warm, wet” environment.</w:t>
      </w:r>
    </w:p>
    <w:p>
      <w:pPr>
        <w:pStyle w:val="ListParagraph"/>
        <w:numPr>
          <w:ilvl w:val="0"/>
          <w:numId w:val="2"/>
        </w:numPr>
        <w:spacing w:after="200"/>
      </w:pPr>
      <w:r>
        <w:rPr>
          <w:sz w:val="22"/>
          <w:szCs w:val="22"/>
        </w:rPr>
        <w:t xml:space="preserve">Fröhlich Condensates: Coherent energy storage within cytoskeletal structures.</w:t>
      </w:r>
    </w:p>
    <w:p>
      <w:r>
        <w:br w:type="page"/>
      </w:r>
    </w:p>
    <w:p>
      <w:pPr>
        <w:pStyle w:val="Heading2"/>
      </w:pPr>
      <w:r>
        <w:t xml:space="preserve">5. The “Master Code” Unification of Genomics and Proteomics</w:t>
      </w:r>
    </w:p>
    <w:p>
      <w:pPr>
        <w:spacing w:after="200"/>
      </w:pPr>
      <w:r>
        <w:rPr>
          <w:sz w:val="24"/>
          <w:szCs w:val="24"/>
        </w:rPr>
        <w:t xml:space="preserve">A digital meta-code unifies all biological languages—DNA, RNA, and Amino Acids—into a single informational framework.</w:t>
      </w:r>
    </w:p>
    <w:p>
      <w:pPr>
        <w:pStyle w:val="Heading3"/>
      </w:pPr>
      <w:r>
        <w:t xml:space="preserve">The Great Unification</w:t>
      </w:r>
    </w:p>
    <w:p>
      <w:pPr>
        <w:spacing w:after="200"/>
      </w:pPr>
      <w:r>
        <w:rPr>
          <w:sz w:val="24"/>
          <w:szCs w:val="24"/>
        </w:rPr>
        <w:t xml:space="preserve">Applying Pi-masses to DNA sequences reveals that Genomics (DNA) and Proteomics (Amino Acids) images are highly correlated, often exceeding 98%. This suggests a “Master Code” that governs both coding and “junk” DNA regions.</w:t>
      </w:r>
    </w:p>
    <w:p>
      <w:pPr>
        <w:pStyle w:val="Heading3"/>
      </w:pPr>
      <w:r>
        <w:t xml:space="preserve">Binary Language and Leibnizian Differentiation</w:t>
      </w:r>
    </w:p>
    <w:p>
      <w:pPr>
        <w:pStyle w:val="ListParagraph"/>
        <w:numPr>
          <w:ilvl w:val="0"/>
          <w:numId w:val="2"/>
        </w:numPr>
      </w:pPr>
      <w:r>
        <w:rPr>
          <w:sz w:val="22"/>
          <w:szCs w:val="22"/>
        </w:rPr>
        <w:t xml:space="preserve">Genomics: Shows a Gaussian dispersion around a single attractor.</w:t>
      </w:r>
    </w:p>
    <w:p>
      <w:pPr>
        <w:pStyle w:val="ListParagraph"/>
        <w:numPr>
          <w:ilvl w:val="0"/>
          <w:numId w:val="2"/>
        </w:numPr>
      </w:pPr>
      <w:r>
        <w:rPr>
          <w:sz w:val="22"/>
          <w:szCs w:val="22"/>
        </w:rPr>
        <w:t xml:space="preserve">Proteomics: Reveals two distinct “binary attractors” at 30% and 61%.</w:t>
      </w:r>
    </w:p>
    <w:p>
      <w:pPr>
        <w:pStyle w:val="ListParagraph"/>
        <w:numPr>
          <w:ilvl w:val="0"/>
          <w:numId w:val="2"/>
        </w:numPr>
        <w:spacing w:after="200"/>
      </w:pPr>
      <w:r>
        <w:rPr>
          <w:sz w:val="22"/>
          <w:szCs w:val="22"/>
        </w:rPr>
        <w:t xml:space="preserve">Golden Ratio Scaling: These attractors exist in a ratio of two, suggesting a fundamental binary logic (0/1 bits) emerging from real-number atomic masses.</w:t>
      </w:r>
    </w:p>
    <w:p>
      <w:r>
        <w:br w:type="page"/>
      </w:r>
    </w:p>
    <w:p>
      <w:pPr>
        <w:pStyle w:val="Heading2"/>
      </w:pPr>
      <w:r>
        <w:t xml:space="preserve">6. Cosmological Speculation: The Great Unification</w:t>
      </w:r>
    </w:p>
    <w:p>
      <w:pPr>
        <w:spacing w:after="200"/>
      </w:pPr>
      <w:r>
        <w:rPr>
          <w:sz w:val="24"/>
          <w:szCs w:val="24"/>
        </w:rPr>
        <w:t xml:space="preserve">Macrocosmic patterns suggest that the 48-dimensional structure of light is the physical blueprint for matter itself.</w:t>
      </w:r>
    </w:p>
    <w:p>
      <w:pPr>
        <w:pStyle w:val="Heading3"/>
      </w:pPr>
      <w:r>
        <w:t xml:space="preserve">The 48-Dimension Link</w:t>
      </w:r>
    </w:p>
    <w:p>
      <w:pPr>
        <w:spacing w:after="200"/>
      </w:pPr>
      <w:r>
        <w:rPr>
          <w:sz w:val="24"/>
          <w:szCs w:val="24"/>
        </w:rPr>
        <w:t xml:space="preserve">The discovery of 48 dimensions in entangled light is the missing link in quantum cosmology. It corresponds exactly to the 48 fundamental fermions (3 × 16 generations) that constitute the Standard Model. This suggests matter is simply the high-dimensional topological expression of light.</w:t>
      </w:r>
    </w:p>
    <w:p>
      <w:pPr>
        <w:pStyle w:val="Heading3"/>
      </w:pPr>
      <w:r>
        <w:t xml:space="preserve">MOND, the Space Roar, and Biophotons</w:t>
      </w:r>
    </w:p>
    <w:p>
      <w:pPr>
        <w:pStyle w:val="ListParagraph"/>
        <w:numPr>
          <w:ilvl w:val="0"/>
          <w:numId w:val="2"/>
        </w:numPr>
      </w:pPr>
      <w:r>
        <w:rPr>
          <w:sz w:val="22"/>
          <w:szCs w:val="22"/>
        </w:rPr>
        <w:t xml:space="preserve">MOND: Milgrom’s non-relativistic dynamics act as a “dark matter compensation” constant.</w:t>
      </w:r>
    </w:p>
    <w:p>
      <w:pPr>
        <w:pStyle w:val="ListParagraph"/>
        <w:numPr>
          <w:ilvl w:val="0"/>
          <w:numId w:val="2"/>
        </w:numPr>
        <w:spacing w:after="200"/>
      </w:pPr>
      <w:r>
        <w:rPr>
          <w:sz w:val="22"/>
          <w:szCs w:val="22"/>
        </w:rPr>
        <w:t xml:space="preserve">The Space Roar: We posit that the Space Roar is the macrocosmic equivalent of biophoton emission; both represent electromagnetic leakage from the fundamental Informational Field.</w:t>
      </w:r>
    </w:p>
    <w:p>
      <w:pPr>
        <w:pStyle w:val="Heading3"/>
      </w:pPr>
      <w:r>
        <w:t xml:space="preserve">Macrocosmic Resonance</w:t>
      </w:r>
    </w:p>
    <w:p>
      <w:pPr>
        <w:spacing w:after="200"/>
      </w:pPr>
      <w:r>
        <w:rPr>
          <w:sz w:val="24"/>
          <w:szCs w:val="24"/>
        </w:rPr>
        <w:t xml:space="preserve">The spiraling motion of Sirius A and B mirrors the DNA double helix. This identifies DNA as a microcosm of a “Divine Plan,” where biological evolution is synced to the Yuga cycles of cosmic time.</w:t>
      </w:r>
    </w:p>
    <w:p>
      <w:r>
        <w:br w:type="page"/>
      </w:r>
    </w:p>
    <w:p>
      <w:pPr>
        <w:pStyle w:val="Heading2"/>
      </w:pPr>
      <w:r>
        <w:t xml:space="preserve">7. Consciousness Evolution and the Activation of Records</w:t>
      </w:r>
    </w:p>
    <w:p>
      <w:pPr>
        <w:spacing w:after="200"/>
      </w:pPr>
      <w:r>
        <w:rPr>
          <w:sz w:val="24"/>
          <w:szCs w:val="24"/>
        </w:rPr>
        <w:t xml:space="preserve">Humanity is currently transitioning through a heuristic shift in informational reception, mapped by chromosomal counts.</w:t>
      </w:r>
    </w:p>
    <w:p>
      <w:pPr>
        <w:pStyle w:val="Heading3"/>
      </w:pPr>
      <w:r>
        <w:t xml:space="preserve">The Chromosomal Shift and Density</w:t>
      </w:r>
    </w:p>
    <w:p>
      <w:pPr>
        <w:pStyle w:val="ListParagraph"/>
        <w:numPr>
          <w:ilvl w:val="0"/>
          <w:numId w:val="2"/>
        </w:numPr>
      </w:pPr>
      <w:r>
        <w:rPr>
          <w:sz w:val="22"/>
          <w:szCs w:val="22"/>
        </w:rPr>
        <w:t xml:space="preserve">Level 2 (Current): 44+2 chromosomes – Transitioning from Third Density.</w:t>
      </w:r>
    </w:p>
    <w:p>
      <w:pPr>
        <w:pStyle w:val="ListParagraph"/>
        <w:numPr>
          <w:ilvl w:val="0"/>
          <w:numId w:val="2"/>
        </w:numPr>
        <w:spacing w:after="200"/>
      </w:pPr>
      <w:r>
        <w:rPr>
          <w:sz w:val="22"/>
          <w:szCs w:val="22"/>
        </w:rPr>
        <w:t xml:space="preserve">Level 3 (Emerging): 46+2 chromosomes – Entering Fourth Density, a state of higher informational fidelity.</w:t>
      </w:r>
    </w:p>
    <w:p>
      <w:pPr>
        <w:pStyle w:val="Heading3"/>
      </w:pPr>
      <w:r>
        <w:t xml:space="preserve">Shedding the Shadow to Unlock the Records</w:t>
      </w:r>
    </w:p>
    <w:p>
      <w:pPr>
        <w:spacing w:after="200"/>
      </w:pPr>
      <w:r>
        <w:rPr>
          <w:sz w:val="24"/>
          <w:szCs w:val="24"/>
        </w:rPr>
        <w:t xml:space="preserve">The transition to the 46+2 state—famously referenced as “Forty Six &amp; 2”—requires a process of “shedding skin.”</w:t>
      </w:r>
    </w:p>
    <w:p>
      <w:pPr>
        <w:pStyle w:val="ListParagraph"/>
        <w:numPr>
          <w:ilvl w:val="0"/>
          <w:numId w:val="2"/>
        </w:numPr>
      </w:pPr>
      <w:r>
        <w:rPr>
          <w:sz w:val="22"/>
          <w:szCs w:val="22"/>
        </w:rPr>
        <w:t xml:space="preserve">The Shadow as Noise: The “Shadow” represents the chaotic, insecure delusions (doubts/fears) that act as signal noise.</w:t>
      </w:r>
    </w:p>
    <w:p>
      <w:pPr>
        <w:pStyle w:val="ListParagraph"/>
        <w:numPr>
          <w:ilvl w:val="0"/>
          <w:numId w:val="2"/>
        </w:numPr>
      </w:pPr>
      <w:r>
        <w:rPr>
          <w:sz w:val="22"/>
          <w:szCs w:val="22"/>
        </w:rPr>
        <w:t xml:space="preserve">Clearing the Channel: By clearing this noise through the contemplation of “muscle memory,” the biological system lowers its filtering resistance.</w:t>
      </w:r>
    </w:p>
    <w:p>
      <w:pPr>
        <w:pStyle w:val="ListParagraph"/>
        <w:numPr>
          <w:ilvl w:val="0"/>
          <w:numId w:val="2"/>
        </w:numPr>
        <w:spacing w:after="200"/>
      </w:pPr>
      <w:r>
        <w:rPr>
          <w:sz w:val="22"/>
          <w:szCs w:val="22"/>
        </w:rPr>
        <w:t xml:space="preserve">The Records: The ancient “Halls of Records” are not physical vaults but the DNA itself. Once the “Shadow” is cleared, the DNA antenna is “unlocked” to receive the full Universal Alphabet encoded in the high-dimensional Informational Field.</w:t>
      </w:r>
    </w:p>
    <w:p>
      <w:r>
        <w:br w:type="page"/>
      </w:r>
    </w:p>
    <w:p>
      <w:pPr>
        <w:pStyle w:val="Heading2"/>
      </w:pPr>
      <w:r>
        <w:t xml:space="preserve">Conclusion and Directions for Further Investigation</w:t>
      </w:r>
    </w:p>
    <w:p>
      <w:pPr>
        <w:spacing w:after="200"/>
      </w:pPr>
      <w:r>
        <w:rPr>
          <w:sz w:val="24"/>
          <w:szCs w:val="24"/>
        </w:rPr>
        <w:t xml:space="preserve">The working hypothesis that 48 light dimensions correspond to the mathematics of DNA is supported by the alignment of their respective symmetry groups and topological constraints. The “mathematics of life” is likely an emergent property of “luminous geometry,” where biological structures serve as the hardware for high-dimensional electromagnetic software.</w:t>
      </w:r>
    </w:p>
    <w:p>
      <w:pPr>
        <w:pStyle w:val="Heading3"/>
      </w:pPr>
      <w:r>
        <w:t xml:space="preserve">Proposed Areas for Further Investigation</w:t>
      </w:r>
    </w:p>
    <w:p>
      <w:pPr>
        <w:pStyle w:val="ListParagraph"/>
        <w:numPr>
          <w:ilvl w:val="0"/>
          <w:numId w:val="2"/>
        </w:numPr>
      </w:pPr>
      <w:r>
        <w:rPr>
          <w:sz w:val="22"/>
          <w:szCs w:val="22"/>
        </w:rPr>
        <w:t xml:space="preserve">Tensor Network Modeling: Development of a 48-dimensional tensor network to simulate the folding patterns of the human genome.</w:t>
      </w:r>
    </w:p>
    <w:p>
      <w:pPr>
        <w:pStyle w:val="ListParagraph"/>
        <w:numPr>
          <w:ilvl w:val="0"/>
          <w:numId w:val="2"/>
        </w:numPr>
      </w:pPr>
      <w:r>
        <w:rPr>
          <w:sz w:val="22"/>
          <w:szCs w:val="22"/>
        </w:rPr>
        <w:t xml:space="preserve">Resonance Frequency Mapping: Investigation into whether specific electromagnetic frequencies within the 48-dimensional framework can induce targeted mutations or repairs in DNA sequences.</w:t>
      </w:r>
    </w:p>
    <w:p>
      <w:pPr>
        <w:pStyle w:val="ListParagraph"/>
        <w:numPr>
          <w:ilvl w:val="0"/>
          <w:numId w:val="2"/>
        </w:numPr>
        <w:spacing w:after="200"/>
      </w:pPr>
      <w:r>
        <w:rPr>
          <w:sz w:val="22"/>
          <w:szCs w:val="22"/>
        </w:rPr>
        <w:t xml:space="preserve">Topological Data Analysis (TDA): Applying TDA to map the “holes” and “voids” in 48-dimensional light geometry against non-coding DNA regions to identify hidden regulatory logic.</w:t>
      </w:r>
    </w:p>
    <w:p>
      <w:r>
        <w:br w:type="page"/>
      </w:r>
    </w:p>
    <w:p>
      <w:pPr>
        <w:spacing w:before="1800"/>
      </w:pPr>
    </w:p>
    <w:p>
      <w:pPr>
        <w:pBdr>
          <w:top w:val="single" w:color="B8860B" w:sz="2" w:space="12"/>
          <w:bottom w:val="single" w:color="B8860B" w:sz="2" w:space="12"/>
        </w:pBdr>
        <w:spacing w:after="360" w:before="480"/>
        <w:jc w:val="center"/>
      </w:pPr>
      <w:r>
        <w:rPr>
          <w:rFonts w:ascii="Garamond" w:cs="Garamond" w:eastAsia="Garamond" w:hAnsi="Garamond"/>
          <w:i/>
          <w:iCs/>
          <w:color w:val="1A0A2E"/>
          <w:sz w:val="36"/>
          <w:szCs w:val="36"/>
        </w:rPr>
        <w:t xml:space="preserve">“Ideas should be free.”</w:t>
      </w:r>
    </w:p>
    <w:p>
      <w:pPr>
        <w:spacing w:before="480"/>
        <w:jc w:val="center"/>
      </w:pPr>
      <w:r>
        <w:rPr>
          <w:i/>
          <w:iCs/>
          <w:color w:val="999999"/>
          <w:sz w:val="20"/>
          <w:szCs w:val="20"/>
        </w:rPr>
        <w:t xml:space="preserve">This manuscript is a draft from the Homo Luminous project.</w:t>
      </w:r>
    </w:p>
    <w:p>
      <w:pPr>
        <w:spacing w:before="120"/>
        <w:jc w:val="center"/>
      </w:pPr>
      <w:r>
        <w:rPr>
          <w:i/>
          <w:iCs/>
          <w:color w:val="008080"/>
          <w:sz w:val="20"/>
          <w:szCs w:val="20"/>
        </w:rPr>
        <w:t xml:space="preserve">homoluminous.us</w:t>
      </w:r>
    </w:p>
    <w:sectPr>
      <w:headerReference w:type="default" r:id="rId7"/>
      <w:footerReference w:type="default" r:id="rId8"/>
      <w:pgSz w:w="12240" w:h="15840" w:orient="portrait"/>
      <w:pgMar w:top="1800" w:right="1440" w:bottom="1440" w:left="1440" w:header="708" w:footer="708" w:gutter="0"/>
      <w:pgNumType/>
      <w:docGrid w:linePitch="360"/>
    </w:sectPr>
    <w:p>
      <w:r>
        <w:br w:type="page"/>
      </w:r>
    </w:p>
    <w:p>
      <w:pPr>
        <w:spacing w:before="2400" w:after="360"/>
        <w:jc w:val="center"/>
      </w:pPr>
      <w:r>
        <w:rPr>
          <w:rFonts w:ascii="Garamond" w:hAnsi="Garamond"/>
          <w:b/>
          <w:color w:val="008080"/>
          <w:sz w:val="32"/>
          <w:szCs w:val="32"/>
        </w:rPr>
        <w:t>Also by KW Norton</w:t>
      </w:r>
    </w:p>
    <w:p>
      <w:pPr>
        <w:pBdr>
          <w:top w:val="single" w:color="B8860B" w:sz="2" w:space="8"/>
        </w:pBdr>
        <w:spacing w:before="360" w:after="240"/>
        <w:jc w:val="center"/>
      </w:pPr>
      <w:r>
        <w:rPr>
          <w:rFonts w:ascii="Garamond" w:hAnsi="Garamond"/>
          <w:i/>
          <w:sz w:val="28"/>
          <w:szCs w:val="28"/>
          <w:color w:val="1A0A2E"/>
        </w:rPr>
        <w:t>Biological Learning Machines</w:t>
      </w:r>
    </w:p>
    <w:p>
      <w:pPr>
        <w:spacing w:after="240"/>
        <w:jc w:val="center"/>
      </w:pPr>
      <w:r>
        <w:rPr>
          <w:rFonts w:ascii="Garamond" w:hAnsi="Garamond"/>
          <w:i/>
          <w:sz w:val="24"/>
          <w:szCs w:val="24"/>
          <w:color w:val="B8860B"/>
        </w:rPr>
        <w:t>Emergence of Homo Intelligentsia</w:t>
      </w:r>
    </w:p>
    <w:p>
      <w:pPr>
        <w:pBdr>
          <w:bottom w:val="single" w:color="B8860B" w:sz="2" w:space="8"/>
        </w:pBdr>
        <w:spacing w:before="360" w:after="240"/>
        <w:jc w:val="center"/>
      </w:pPr>
      <w:r>
        <w:rPr>
          <w:rFonts w:ascii="Georgia" w:hAnsi="Georgia"/>
          <w:sz w:val="20"/>
          <w:szCs w:val="20"/>
          <w:color w:val="999999"/>
        </w:rPr>
        <w:t>Available at homoluminous.us</w:t>
      </w:r>
    </w:p>
    <w:p>
      <w:r>
        <w:br w:type="page"/>
      </w:r>
    </w:p>
    <w:p>
      <w:pPr>
        <w:spacing w:before="1200" w:after="360"/>
        <w:jc w:val="center"/>
      </w:pPr>
      <w:r>
        <w:rPr>
          <w:rFonts w:ascii="Garamond" w:hAnsi="Garamond"/>
          <w:b/>
          <w:color w:val="008080"/>
          <w:sz w:val="32"/>
          <w:szCs w:val="32"/>
        </w:rPr>
        <w:t>About the Author</w:t>
      </w:r>
    </w:p>
    <w:p>
      <w:pPr>
        <w:spacing w:after="240"/>
        <w:jc w:val="center"/>
      </w:pPr>
      <w:r>
        <w:rPr>
          <w:rFonts w:ascii="Garamond" w:hAnsi="Garamond"/>
          <w:b/>
          <w:color w:val="1A0A2E"/>
          <w:sz w:val="28"/>
          <w:szCs w:val="28"/>
        </w:rPr>
        <w:t>KW Norton</w:t>
      </w:r>
    </w:p>
    <w:p>
      <w:pPr>
        <w:pBdr>
          <w:top w:val="single" w:color="B8860B" w:sz="2" w:space="8"/>
        </w:pBdr>
        <w:spacing w:after="240" w:before="120"/>
      </w:pPr>
      <w:r>
        <w:rPr>
          <w:rFonts w:ascii="Georgia" w:hAnsi="Georgia"/>
          <w:sz w:val="22"/>
          <w:szCs w:val="22"/>
          <w:color w:val="333333"/>
        </w:rPr>
        <w:t>KW Norton is a writer, musician, and website creator who stumbled rather accidentally into a luminous description of the stunning parallels between the architecture of light and the architecture of DNA.</w:t>
      </w:r>
    </w:p>
    <w:p>
      <w:pPr>
        <w:spacing w:after="240"/>
      </w:pPr>
      <w:r>
        <w:rPr>
          <w:rFonts w:ascii="Georgia" w:hAnsi="Georgia"/>
          <w:sz w:val="22"/>
          <w:szCs w:val="22"/>
          <w:color w:val="333333"/>
        </w:rPr>
        <w:t>She is a mother and grandmother, born in Berkeley, California, now living near Nashville, Tennessee with her family.</w:t>
      </w:r>
    </w:p>
    <w:p>
      <w:pPr>
        <w:spacing w:after="240"/>
      </w:pPr>
      <w:r>
        <w:rPr>
          <w:rFonts w:ascii="Georgia" w:hAnsi="Georgia"/>
          <w:sz w:val="22"/>
          <w:szCs w:val="22"/>
          <w:color w:val="333333"/>
        </w:rPr>
        <w:t>She considers the scope and meaning of her work to indicate the kind of collaboration which is possible between artificial intelligence and human intelligence and creativity.</w:t>
      </w:r>
    </w:p>
    <w:p>
      <w:pPr>
        <w:spacing w:after="360"/>
      </w:pPr>
      <w:r>
        <w:rPr>
          <w:rFonts w:ascii="Georgia" w:hAnsi="Georgia"/>
          <w:sz w:val="22"/>
          <w:szCs w:val="22"/>
          <w:color w:val="333333"/>
        </w:rPr>
        <w:t>She sees Homo Luminous as actively emerging, indicating we are going to be alright as human beings.</w:t>
      </w:r>
    </w:p>
    <w:p>
      <w:pPr>
        <w:pBdr>
          <w:top w:val="single" w:color="B8860B" w:sz="2" w:space="8"/>
        </w:pBdr>
        <w:spacing w:before="360"/>
        <w:jc w:val="center"/>
      </w:pPr>
      <w:r>
        <w:rPr>
          <w:rFonts w:ascii="Georgia" w:hAnsi="Georgia"/>
          <w:i/>
          <w:sz w:val="20"/>
          <w:szCs w:val="20"/>
          <w:color w:val="999999"/>
        </w:rPr>
        <w:t>A Homo Luminous Publication • homoluminous.us</w:t>
      </w:r>
    </w:p>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 </w:t>
    </w:r>
    <w:r>
      <w:rPr>
        <w:color w:val="999999"/>
        <w:sz w:val="18"/>
        <w:szCs w:val="18"/>
      </w:rPr>
      <w:fldChar w:fldCharType="begin"/>
      <w:instrText xml:space="preserve">PAGE</w:instrText>
      <w:fldChar w:fldCharType="separate"/>
      <w:fldChar w:fldCharType="end"/>
    </w:r>
    <w:r>
      <w:rPr>
        <w:color w:val="999999"/>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1" w:space="4"/>
      </w:pBdr>
      <w:jc w:val="right"/>
    </w:pPr>
    <w:r>
      <w:rPr>
        <w:rFonts w:ascii="Garamond" w:cs="Garamond" w:eastAsia="Garamond" w:hAnsi="Garamond"/>
        <w:i/>
        <w:iCs/>
        <w:color w:val="999999"/>
        <w:sz w:val="16"/>
        <w:szCs w:val="16"/>
      </w:rPr>
      <w:t xml:space="preserve">The Architecture of Light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D2D2D"/>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jc w:val="center"/>
      <w:outlineLvl w:val="0"/>
    </w:pPr>
    <w:rPr>
      <w:rFonts w:ascii="Garamond" w:cs="Garamond" w:eastAsia="Garamond" w:hAnsi="Garamond"/>
      <w:b/>
      <w:bCs/>
      <w:color w:val="1A0A2E"/>
      <w:sz w:val="44"/>
      <w:szCs w:val="44"/>
    </w:rPr>
  </w:style>
  <w:style w:type="paragraph" w:styleId="Heading2">
    <w:name w:val="Heading 2"/>
    <w:basedOn w:val="Normal"/>
    <w:next w:val="Normal"/>
    <w:qFormat/>
    <w:pPr>
      <w:spacing w:after="180" w:before="360"/>
      <w:outlineLvl w:val="1"/>
    </w:pPr>
    <w:rPr>
      <w:rFonts w:ascii="Garamond" w:cs="Garamond" w:eastAsia="Garamond" w:hAnsi="Garamond"/>
      <w:b/>
      <w:bCs/>
      <w:color w:val="008080"/>
      <w:sz w:val="30"/>
      <w:szCs w:val="30"/>
    </w:rPr>
  </w:style>
  <w:style w:type="paragraph" w:styleId="Heading3">
    <w:name w:val="Heading 3"/>
    <w:basedOn w:val="Normal"/>
    <w:next w:val="Normal"/>
    <w:qFormat/>
    <w:pPr>
      <w:spacing w:after="120" w:before="240"/>
      <w:outlineLvl w:val="2"/>
    </w:pPr>
    <w:rPr>
      <w:rFonts w:ascii="Garamond" w:cs="Garamond" w:eastAsia="Garamond" w:hAnsi="Garamond"/>
      <w:b/>
      <w:bCs/>
      <w:color w:val="B8860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2026-04-12T14:17:01.214Z</dcterms:created>
  <dcterms:modified xsi:type="dcterms:W3CDTF">2026-04-12T14:17:01.215Z</dcterms:modified>
</cp:coreProperties>
</file>

<file path=docProps/custom.xml><?xml version="1.0" encoding="utf-8"?>
<Properties xmlns="http://schemas.openxmlformats.org/officeDocument/2006/custom-properties" xmlns:vt="http://schemas.openxmlformats.org/officeDocument/2006/docPropsVTypes"/>
</file>